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96EEF" w14:textId="77777777" w:rsidR="00220297" w:rsidRPr="00DD024A" w:rsidRDefault="00220297" w:rsidP="00220297">
      <w:pPr>
        <w:widowControl w:val="0"/>
        <w:autoSpaceDE w:val="0"/>
        <w:autoSpaceDN w:val="0"/>
        <w:adjustRightInd w:val="0"/>
        <w:rPr>
          <w:rFonts w:ascii="Republika" w:eastAsia="Calibri" w:hAnsi="Republika" w:cs="Calibri"/>
          <w:sz w:val="22"/>
          <w:szCs w:val="22"/>
        </w:rPr>
      </w:pPr>
      <w:r w:rsidRPr="00DD024A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E7B7F47" wp14:editId="12CECA72">
            <wp:simplePos x="0" y="0"/>
            <wp:positionH relativeFrom="leftMargin">
              <wp:posOffset>499745</wp:posOffset>
            </wp:positionH>
            <wp:positionV relativeFrom="paragraph">
              <wp:posOffset>37465</wp:posOffset>
            </wp:positionV>
            <wp:extent cx="363855" cy="394970"/>
            <wp:effectExtent l="0" t="0" r="0" b="5080"/>
            <wp:wrapNone/>
            <wp:docPr id="752251935" name="Slika 1" descr="Slika, ki vsebuje besede simbol, emblem, logotip, ščit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251935" name="Slika 1" descr="Slika, ki vsebuje besede simbol, emblem, logotip, ščit&#10;&#10;Opis je samodejno ustvarjen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D024A">
        <w:rPr>
          <w:rFonts w:ascii="Calibri" w:eastAsia="Calibri" w:hAnsi="Calibri" w:cs="Calibri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2393070" wp14:editId="0703F4EF">
                <wp:simplePos x="0" y="0"/>
                <wp:positionH relativeFrom="column">
                  <wp:posOffset>-431800</wp:posOffset>
                </wp:positionH>
                <wp:positionV relativeFrom="page">
                  <wp:posOffset>3600450</wp:posOffset>
                </wp:positionV>
                <wp:extent cx="252095" cy="0"/>
                <wp:effectExtent l="6350" t="9525" r="8255" b="9525"/>
                <wp:wrapNone/>
                <wp:docPr id="358228103" name="Lin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1B23C0AF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  <w10:wrap anchory="page"/>
              </v:line>
            </w:pict>
          </mc:Fallback>
        </mc:AlternateContent>
      </w:r>
      <w:r w:rsidRPr="00DD024A">
        <w:rPr>
          <w:rFonts w:ascii="Republika" w:eastAsia="Calibri" w:hAnsi="Republika" w:cs="Calibri"/>
          <w:sz w:val="22"/>
          <w:szCs w:val="22"/>
        </w:rPr>
        <w:t>REPUBLIKA SLOVENIJA</w:t>
      </w:r>
    </w:p>
    <w:p w14:paraId="2CE1B96E" w14:textId="77777777" w:rsidR="00220297" w:rsidRPr="00DD024A" w:rsidRDefault="00220297" w:rsidP="00220297">
      <w:pPr>
        <w:widowControl w:val="0"/>
        <w:tabs>
          <w:tab w:val="center" w:pos="4536"/>
          <w:tab w:val="left" w:pos="5112"/>
          <w:tab w:val="right" w:pos="9072"/>
        </w:tabs>
        <w:autoSpaceDE w:val="0"/>
        <w:autoSpaceDN w:val="0"/>
        <w:spacing w:after="120" w:line="240" w:lineRule="exact"/>
        <w:rPr>
          <w:rFonts w:ascii="Republika" w:eastAsia="Calibri" w:hAnsi="Republika" w:cs="Calibri"/>
          <w:b/>
          <w:caps/>
          <w:sz w:val="22"/>
          <w:szCs w:val="22"/>
        </w:rPr>
      </w:pPr>
      <w:r w:rsidRPr="00DD024A">
        <w:rPr>
          <w:rFonts w:ascii="Republika" w:eastAsia="Calibri" w:hAnsi="Republika" w:cs="Calibri"/>
          <w:b/>
          <w:caps/>
          <w:sz w:val="22"/>
          <w:szCs w:val="22"/>
        </w:rPr>
        <w:t>MinIstrstvo za VZGOJO IN IZOBRAŽEVANJE</w:t>
      </w:r>
    </w:p>
    <w:p w14:paraId="6A9370A6" w14:textId="77777777" w:rsidR="00220297" w:rsidRPr="00DD024A" w:rsidRDefault="00220297" w:rsidP="00220297">
      <w:pPr>
        <w:widowControl w:val="0"/>
        <w:tabs>
          <w:tab w:val="center" w:pos="4536"/>
          <w:tab w:val="left" w:pos="5112"/>
          <w:tab w:val="right" w:pos="9072"/>
        </w:tabs>
        <w:autoSpaceDE w:val="0"/>
        <w:autoSpaceDN w:val="0"/>
        <w:spacing w:before="120" w:line="240" w:lineRule="exact"/>
        <w:rPr>
          <w:rFonts w:ascii="Calibri" w:eastAsia="Calibri" w:hAnsi="Calibri" w:cs="Arial"/>
          <w:sz w:val="16"/>
          <w:szCs w:val="22"/>
        </w:rPr>
      </w:pPr>
      <w:r w:rsidRPr="00DD024A">
        <w:rPr>
          <w:rFonts w:ascii="Calibri" w:eastAsia="Calibri" w:hAnsi="Calibri" w:cs="Arial"/>
          <w:sz w:val="16"/>
          <w:szCs w:val="22"/>
        </w:rPr>
        <w:t>Masarykova cesta 16, 1000 Ljubljana</w:t>
      </w:r>
      <w:r w:rsidRPr="00DD024A">
        <w:rPr>
          <w:rFonts w:ascii="Calibri" w:eastAsia="Calibri" w:hAnsi="Calibri" w:cs="Arial"/>
          <w:sz w:val="16"/>
          <w:szCs w:val="22"/>
        </w:rPr>
        <w:tab/>
        <w:t>T: 01 400 52 00</w:t>
      </w:r>
    </w:p>
    <w:p w14:paraId="35557948" w14:textId="77777777" w:rsidR="00220297" w:rsidRPr="00DD024A" w:rsidRDefault="00220297" w:rsidP="00220297">
      <w:pPr>
        <w:widowControl w:val="0"/>
        <w:tabs>
          <w:tab w:val="center" w:pos="4536"/>
          <w:tab w:val="left" w:pos="5112"/>
          <w:tab w:val="right" w:pos="9072"/>
        </w:tabs>
        <w:autoSpaceDE w:val="0"/>
        <w:autoSpaceDN w:val="0"/>
        <w:spacing w:line="240" w:lineRule="exact"/>
        <w:rPr>
          <w:rFonts w:ascii="Calibri" w:eastAsia="Calibri" w:hAnsi="Calibri" w:cs="Arial"/>
          <w:sz w:val="16"/>
          <w:szCs w:val="22"/>
        </w:rPr>
      </w:pPr>
      <w:r w:rsidRPr="00DD024A">
        <w:rPr>
          <w:rFonts w:ascii="Calibri" w:eastAsia="Calibri" w:hAnsi="Calibri" w:cs="Arial"/>
          <w:sz w:val="16"/>
          <w:szCs w:val="22"/>
        </w:rPr>
        <w:tab/>
        <w:t>F: 01 400 53 21</w:t>
      </w:r>
    </w:p>
    <w:p w14:paraId="2B1A84FE" w14:textId="77777777" w:rsidR="00220297" w:rsidRPr="00DD024A" w:rsidRDefault="00220297" w:rsidP="00220297">
      <w:pPr>
        <w:widowControl w:val="0"/>
        <w:tabs>
          <w:tab w:val="center" w:pos="4536"/>
          <w:tab w:val="left" w:pos="5112"/>
          <w:tab w:val="right" w:pos="9072"/>
        </w:tabs>
        <w:autoSpaceDE w:val="0"/>
        <w:autoSpaceDN w:val="0"/>
        <w:spacing w:line="240" w:lineRule="exact"/>
        <w:rPr>
          <w:rFonts w:ascii="Calibri" w:eastAsia="Calibri" w:hAnsi="Calibri" w:cs="Arial"/>
          <w:sz w:val="16"/>
          <w:szCs w:val="22"/>
        </w:rPr>
      </w:pPr>
      <w:r w:rsidRPr="00DD024A">
        <w:rPr>
          <w:rFonts w:ascii="Calibri" w:eastAsia="Calibri" w:hAnsi="Calibri" w:cs="Arial"/>
          <w:sz w:val="16"/>
          <w:szCs w:val="22"/>
        </w:rPr>
        <w:tab/>
        <w:t>E: gp.mvi@gov.si</w:t>
      </w:r>
    </w:p>
    <w:p w14:paraId="336CC2D7" w14:textId="77777777" w:rsidR="00220297" w:rsidRPr="00DD024A" w:rsidRDefault="00220297" w:rsidP="00220297">
      <w:pPr>
        <w:widowControl w:val="0"/>
        <w:tabs>
          <w:tab w:val="center" w:pos="4536"/>
          <w:tab w:val="left" w:pos="5112"/>
          <w:tab w:val="right" w:pos="9072"/>
        </w:tabs>
        <w:autoSpaceDE w:val="0"/>
        <w:autoSpaceDN w:val="0"/>
        <w:spacing w:line="240" w:lineRule="exact"/>
        <w:rPr>
          <w:rFonts w:ascii="Calibri" w:eastAsia="Calibri" w:hAnsi="Calibri" w:cs="Arial"/>
          <w:sz w:val="16"/>
          <w:szCs w:val="22"/>
        </w:rPr>
      </w:pPr>
      <w:r w:rsidRPr="00DD024A">
        <w:rPr>
          <w:rFonts w:ascii="Calibri" w:eastAsia="Calibri" w:hAnsi="Calibri" w:cs="Arial"/>
          <w:sz w:val="16"/>
          <w:szCs w:val="22"/>
        </w:rPr>
        <w:tab/>
        <w:t>www.mvi.gov.si</w:t>
      </w:r>
    </w:p>
    <w:p w14:paraId="38257F3A" w14:textId="77777777" w:rsidR="00220297" w:rsidRDefault="00220297" w:rsidP="00220297">
      <w:pPr>
        <w:ind w:left="2835"/>
        <w:jc w:val="both"/>
        <w:rPr>
          <w:rFonts w:cs="Arial"/>
          <w:szCs w:val="20"/>
        </w:rPr>
      </w:pPr>
    </w:p>
    <w:p w14:paraId="77D047A3" w14:textId="77777777" w:rsidR="00C64D42" w:rsidRPr="005D084C" w:rsidRDefault="00C64D42" w:rsidP="00E6270E">
      <w:pPr>
        <w:jc w:val="both"/>
        <w:rPr>
          <w:rFonts w:cs="Arial"/>
          <w:sz w:val="16"/>
          <w:szCs w:val="16"/>
        </w:rPr>
      </w:pPr>
    </w:p>
    <w:p w14:paraId="2F826A74" w14:textId="77777777" w:rsidR="00517631" w:rsidRDefault="00517631" w:rsidP="00517631">
      <w:pPr>
        <w:spacing w:line="240" w:lineRule="auto"/>
        <w:jc w:val="both"/>
        <w:rPr>
          <w:rFonts w:cs="Arial"/>
          <w:szCs w:val="20"/>
        </w:rPr>
      </w:pPr>
      <w:bookmarkStart w:id="0" w:name="_Hlk170975566"/>
    </w:p>
    <w:p w14:paraId="197B0731" w14:textId="77777777" w:rsidR="00517631" w:rsidRDefault="00517631" w:rsidP="00517631">
      <w:pPr>
        <w:spacing w:line="240" w:lineRule="auto"/>
        <w:jc w:val="both"/>
        <w:rPr>
          <w:rFonts w:cs="Arial"/>
          <w:szCs w:val="20"/>
        </w:rPr>
      </w:pPr>
    </w:p>
    <w:p w14:paraId="7B855F49" w14:textId="77777777" w:rsidR="00517631" w:rsidRDefault="00517631" w:rsidP="00517631">
      <w:pPr>
        <w:spacing w:line="240" w:lineRule="auto"/>
        <w:jc w:val="both"/>
        <w:rPr>
          <w:rFonts w:cs="Arial"/>
          <w:szCs w:val="20"/>
        </w:rPr>
      </w:pPr>
    </w:p>
    <w:p w14:paraId="55A882B1" w14:textId="77777777" w:rsidR="00517631" w:rsidRDefault="00517631" w:rsidP="00517631">
      <w:pPr>
        <w:spacing w:line="240" w:lineRule="auto"/>
        <w:jc w:val="both"/>
        <w:rPr>
          <w:rFonts w:cs="Arial"/>
          <w:szCs w:val="20"/>
        </w:rPr>
      </w:pPr>
    </w:p>
    <w:p w14:paraId="7ABF6807" w14:textId="77777777" w:rsidR="00517631" w:rsidRDefault="00517631" w:rsidP="00517631">
      <w:pPr>
        <w:spacing w:line="240" w:lineRule="auto"/>
        <w:jc w:val="both"/>
        <w:rPr>
          <w:rFonts w:cs="Arial"/>
          <w:szCs w:val="20"/>
        </w:rPr>
      </w:pPr>
    </w:p>
    <w:p w14:paraId="4C05A1C1" w14:textId="77777777" w:rsidR="00517631" w:rsidRDefault="00517631" w:rsidP="00517631">
      <w:pPr>
        <w:spacing w:line="240" w:lineRule="auto"/>
        <w:jc w:val="both"/>
        <w:rPr>
          <w:rFonts w:cs="Arial"/>
          <w:szCs w:val="20"/>
        </w:rPr>
      </w:pPr>
    </w:p>
    <w:p w14:paraId="7CCFCDCD" w14:textId="1C06CD7B" w:rsidR="00BC71EB" w:rsidRPr="002B4D46" w:rsidRDefault="00517631" w:rsidP="00517631">
      <w:pPr>
        <w:spacing w:line="240" w:lineRule="auto"/>
        <w:jc w:val="both"/>
        <w:rPr>
          <w:rFonts w:cs="Arial"/>
          <w:szCs w:val="20"/>
        </w:rPr>
      </w:pPr>
      <w:r w:rsidRPr="002B4D46">
        <w:rPr>
          <w:rFonts w:cs="Arial"/>
          <w:szCs w:val="20"/>
        </w:rPr>
        <w:t xml:space="preserve">Dodatno obveščamo, da je bilo </w:t>
      </w:r>
      <w:r w:rsidR="00C64D42" w:rsidRPr="002B4D46">
        <w:rPr>
          <w:rFonts w:cs="Arial"/>
          <w:szCs w:val="20"/>
        </w:rPr>
        <w:t>izved</w:t>
      </w:r>
      <w:r w:rsidR="001D1A51" w:rsidRPr="002B4D46">
        <w:rPr>
          <w:rFonts w:cs="Arial"/>
          <w:szCs w:val="20"/>
        </w:rPr>
        <w:t>e</w:t>
      </w:r>
      <w:r w:rsidRPr="002B4D46">
        <w:rPr>
          <w:rFonts w:cs="Arial"/>
          <w:szCs w:val="20"/>
        </w:rPr>
        <w:t>no</w:t>
      </w:r>
      <w:r w:rsidR="00C64D42" w:rsidRPr="002B4D46">
        <w:rPr>
          <w:rFonts w:cs="Arial"/>
          <w:szCs w:val="20"/>
        </w:rPr>
        <w:t xml:space="preserve"> skupn</w:t>
      </w:r>
      <w:r w:rsidRPr="002B4D46">
        <w:rPr>
          <w:rFonts w:cs="Arial"/>
          <w:szCs w:val="20"/>
        </w:rPr>
        <w:t>o</w:t>
      </w:r>
      <w:r w:rsidR="00C64D42" w:rsidRPr="002B4D46">
        <w:rPr>
          <w:rFonts w:cs="Arial"/>
          <w:szCs w:val="20"/>
        </w:rPr>
        <w:t xml:space="preserve"> javn</w:t>
      </w:r>
      <w:r w:rsidRPr="002B4D46">
        <w:rPr>
          <w:rFonts w:cs="Arial"/>
          <w:szCs w:val="20"/>
        </w:rPr>
        <w:t>o</w:t>
      </w:r>
      <w:r w:rsidR="00C64D42" w:rsidRPr="002B4D46">
        <w:rPr>
          <w:rFonts w:cs="Arial"/>
          <w:szCs w:val="20"/>
        </w:rPr>
        <w:t xml:space="preserve"> naročil</w:t>
      </w:r>
      <w:r w:rsidRPr="002B4D46">
        <w:rPr>
          <w:rFonts w:cs="Arial"/>
          <w:szCs w:val="20"/>
        </w:rPr>
        <w:t>o</w:t>
      </w:r>
      <w:r w:rsidR="00C64D42" w:rsidRPr="002B4D46">
        <w:rPr>
          <w:rFonts w:cs="Arial"/>
          <w:szCs w:val="20"/>
        </w:rPr>
        <w:t xml:space="preserve"> za zavarovanje šolskega premoženja, interesov in oseb javnih zavodov iz resornih pristojnosti Ministrstva za vzgojo in izobraževanje</w:t>
      </w:r>
      <w:r w:rsidR="001D1A51" w:rsidRPr="002B4D46">
        <w:rPr>
          <w:rFonts w:cs="Arial"/>
          <w:szCs w:val="20"/>
        </w:rPr>
        <w:t xml:space="preserve"> za zavarovalno obdobje od 01.01.2025 do 31.12.2028 za vključenih 1</w:t>
      </w:r>
      <w:r w:rsidR="00E85C1A" w:rsidRPr="002B4D46">
        <w:rPr>
          <w:rFonts w:cs="Arial"/>
          <w:szCs w:val="20"/>
        </w:rPr>
        <w:t>4</w:t>
      </w:r>
      <w:r w:rsidR="001D1A51" w:rsidRPr="002B4D46">
        <w:rPr>
          <w:rFonts w:cs="Arial"/>
          <w:szCs w:val="20"/>
        </w:rPr>
        <w:t>5 zavodov</w:t>
      </w:r>
      <w:r w:rsidRPr="002B4D46">
        <w:rPr>
          <w:rFonts w:cs="Arial"/>
          <w:szCs w:val="20"/>
        </w:rPr>
        <w:t xml:space="preserve"> z </w:t>
      </w:r>
      <w:bookmarkEnd w:id="0"/>
      <w:r w:rsidR="00BC71EB" w:rsidRPr="002B4D46">
        <w:rPr>
          <w:rFonts w:cs="Arial"/>
          <w:szCs w:val="20"/>
        </w:rPr>
        <w:t>nadgrad</w:t>
      </w:r>
      <w:r w:rsidRPr="002B4D46">
        <w:rPr>
          <w:rFonts w:cs="Arial"/>
          <w:szCs w:val="20"/>
        </w:rPr>
        <w:t xml:space="preserve">njo </w:t>
      </w:r>
      <w:r w:rsidR="00BC71EB" w:rsidRPr="002B4D46">
        <w:rPr>
          <w:rFonts w:cs="Arial"/>
          <w:szCs w:val="20"/>
        </w:rPr>
        <w:t>zavarovaln</w:t>
      </w:r>
      <w:r w:rsidRPr="002B4D46">
        <w:rPr>
          <w:rFonts w:cs="Arial"/>
          <w:szCs w:val="20"/>
        </w:rPr>
        <w:t>ega</w:t>
      </w:r>
      <w:r w:rsidR="00BC71EB" w:rsidRPr="002B4D46">
        <w:rPr>
          <w:rFonts w:cs="Arial"/>
          <w:szCs w:val="20"/>
        </w:rPr>
        <w:t xml:space="preserve"> program</w:t>
      </w:r>
      <w:r w:rsidRPr="002B4D46">
        <w:rPr>
          <w:rFonts w:cs="Arial"/>
          <w:szCs w:val="20"/>
        </w:rPr>
        <w:t>a</w:t>
      </w:r>
      <w:r w:rsidR="00BC71EB" w:rsidRPr="002B4D46">
        <w:rPr>
          <w:rFonts w:cs="Arial"/>
          <w:szCs w:val="20"/>
        </w:rPr>
        <w:t xml:space="preserve"> za </w:t>
      </w:r>
      <w:r w:rsidR="00E85C1A" w:rsidRPr="002B4D46">
        <w:rPr>
          <w:rFonts w:cs="Arial"/>
          <w:szCs w:val="20"/>
        </w:rPr>
        <w:t xml:space="preserve">zadevno </w:t>
      </w:r>
      <w:r w:rsidR="00BC71EB" w:rsidRPr="002B4D46">
        <w:rPr>
          <w:rFonts w:cs="Arial"/>
          <w:szCs w:val="20"/>
        </w:rPr>
        <w:t xml:space="preserve">novo zavarovalno obdobje, in sicer: </w:t>
      </w:r>
    </w:p>
    <w:p w14:paraId="635EB400" w14:textId="783CE062" w:rsidR="00C64D42" w:rsidRPr="002B4D46" w:rsidRDefault="00C64D42" w:rsidP="00220297">
      <w:pPr>
        <w:numPr>
          <w:ilvl w:val="1"/>
          <w:numId w:val="21"/>
        </w:numPr>
        <w:spacing w:line="240" w:lineRule="auto"/>
        <w:jc w:val="both"/>
        <w:rPr>
          <w:rFonts w:cs="Arial"/>
          <w:szCs w:val="20"/>
        </w:rPr>
      </w:pPr>
      <w:r w:rsidRPr="002B4D46">
        <w:rPr>
          <w:rFonts w:cs="Arial"/>
          <w:szCs w:val="20"/>
        </w:rPr>
        <w:t xml:space="preserve">Zaradi znatnih podražitev stroškov gradnje v zadnjih letih (gradbeni material in storitve povezane z gradnjo) ter knjigovodske nabavne vrednosti objektov </w:t>
      </w:r>
      <w:r w:rsidR="00BC71EB" w:rsidRPr="002B4D46">
        <w:rPr>
          <w:rFonts w:cs="Arial"/>
          <w:szCs w:val="20"/>
        </w:rPr>
        <w:t>je</w:t>
      </w:r>
      <w:r w:rsidRPr="002B4D46">
        <w:rPr>
          <w:rFonts w:cs="Arial"/>
          <w:szCs w:val="20"/>
        </w:rPr>
        <w:t xml:space="preserve"> pri požarnem in potresnem zavarovanju določ</w:t>
      </w:r>
      <w:r w:rsidR="00BC71EB" w:rsidRPr="002B4D46">
        <w:rPr>
          <w:rFonts w:cs="Arial"/>
          <w:szCs w:val="20"/>
        </w:rPr>
        <w:t>ena</w:t>
      </w:r>
      <w:r w:rsidRPr="002B4D46">
        <w:rPr>
          <w:rFonts w:cs="Arial"/>
          <w:szCs w:val="20"/>
        </w:rPr>
        <w:t xml:space="preserve"> zavarovaln</w:t>
      </w:r>
      <w:r w:rsidR="00BC71EB" w:rsidRPr="002B4D46">
        <w:rPr>
          <w:rFonts w:cs="Arial"/>
          <w:szCs w:val="20"/>
        </w:rPr>
        <w:t>a</w:t>
      </w:r>
      <w:r w:rsidRPr="002B4D46">
        <w:rPr>
          <w:rFonts w:cs="Arial"/>
          <w:szCs w:val="20"/>
        </w:rPr>
        <w:t xml:space="preserve"> vsot</w:t>
      </w:r>
      <w:r w:rsidR="00BC71EB" w:rsidRPr="002B4D46">
        <w:rPr>
          <w:rFonts w:cs="Arial"/>
          <w:szCs w:val="20"/>
        </w:rPr>
        <w:t>a</w:t>
      </w:r>
      <w:r w:rsidRPr="002B4D46">
        <w:rPr>
          <w:rFonts w:cs="Arial"/>
          <w:szCs w:val="20"/>
        </w:rPr>
        <w:t xml:space="preserve"> za vse zgradbe (masivne gradnje) na minimalno 1.800 EUR/m</w:t>
      </w:r>
      <w:r w:rsidRPr="002B4D46">
        <w:rPr>
          <w:rFonts w:cs="Arial"/>
          <w:szCs w:val="20"/>
          <w:vertAlign w:val="superscript"/>
        </w:rPr>
        <w:t>2</w:t>
      </w:r>
      <w:r w:rsidRPr="002B4D46">
        <w:rPr>
          <w:rFonts w:cs="Arial"/>
          <w:szCs w:val="20"/>
        </w:rPr>
        <w:t>. To se nanaša predvsem na (osnovne) masivne zgradbe zavodov kjer se opravlja dejavnost ter na telovadnice.</w:t>
      </w:r>
    </w:p>
    <w:p w14:paraId="432C493A" w14:textId="556D1373" w:rsidR="00C64D42" w:rsidRPr="002B4D46" w:rsidRDefault="00BC71EB" w:rsidP="00220297">
      <w:pPr>
        <w:numPr>
          <w:ilvl w:val="1"/>
          <w:numId w:val="21"/>
        </w:numPr>
        <w:spacing w:line="240" w:lineRule="auto"/>
        <w:jc w:val="both"/>
        <w:rPr>
          <w:rFonts w:cs="Arial"/>
          <w:szCs w:val="20"/>
        </w:rPr>
      </w:pPr>
      <w:r w:rsidRPr="002B4D46">
        <w:rPr>
          <w:rFonts w:cs="Arial"/>
          <w:szCs w:val="20"/>
        </w:rPr>
        <w:t>Vsled preteklim škodnim dogodkom in prihodnjim pričakovanjem se je z</w:t>
      </w:r>
      <w:r w:rsidR="00C64D42" w:rsidRPr="002B4D46">
        <w:rPr>
          <w:rFonts w:cs="Arial"/>
          <w:szCs w:val="20"/>
        </w:rPr>
        <w:t>viša</w:t>
      </w:r>
      <w:r w:rsidRPr="002B4D46">
        <w:rPr>
          <w:rFonts w:cs="Arial"/>
          <w:szCs w:val="20"/>
        </w:rPr>
        <w:t>la</w:t>
      </w:r>
      <w:r w:rsidR="00C64D42" w:rsidRPr="002B4D46">
        <w:rPr>
          <w:rFonts w:cs="Arial"/>
          <w:szCs w:val="20"/>
        </w:rPr>
        <w:t xml:space="preserve"> zavarovalna vsota </w:t>
      </w:r>
      <w:r w:rsidR="009A00E0" w:rsidRPr="002B4D46">
        <w:rPr>
          <w:rFonts w:cs="Arial"/>
          <w:szCs w:val="20"/>
        </w:rPr>
        <w:t xml:space="preserve">(na I. riziko) </w:t>
      </w:r>
      <w:r w:rsidR="00C64D42" w:rsidRPr="002B4D46">
        <w:rPr>
          <w:rFonts w:cs="Arial"/>
          <w:szCs w:val="20"/>
        </w:rPr>
        <w:t>za nevarnost poplave pri požarnem zavarovanju, in sicer na do 1.000.000 EUR</w:t>
      </w:r>
      <w:r w:rsidR="005D084C" w:rsidRPr="002B4D46">
        <w:rPr>
          <w:rFonts w:cs="Arial"/>
          <w:szCs w:val="20"/>
        </w:rPr>
        <w:t xml:space="preserve"> po posameznem zavarovalnem primeru</w:t>
      </w:r>
      <w:r w:rsidR="00C64D42" w:rsidRPr="002B4D46">
        <w:rPr>
          <w:rFonts w:cs="Arial"/>
          <w:szCs w:val="20"/>
        </w:rPr>
        <w:t xml:space="preserve">; </w:t>
      </w:r>
      <w:r w:rsidR="008253B1" w:rsidRPr="002B4D46">
        <w:rPr>
          <w:rFonts w:cs="Arial"/>
          <w:szCs w:val="20"/>
        </w:rPr>
        <w:t>prej</w:t>
      </w:r>
      <w:r w:rsidR="00C64D42" w:rsidRPr="002B4D46">
        <w:rPr>
          <w:rFonts w:cs="Arial"/>
          <w:szCs w:val="20"/>
        </w:rPr>
        <w:t xml:space="preserve"> pa </w:t>
      </w:r>
      <w:r w:rsidR="008253B1" w:rsidRPr="002B4D46">
        <w:rPr>
          <w:rFonts w:cs="Arial"/>
          <w:szCs w:val="20"/>
        </w:rPr>
        <w:t xml:space="preserve">je </w:t>
      </w:r>
      <w:r w:rsidR="00C64D42" w:rsidRPr="002B4D46">
        <w:rPr>
          <w:rFonts w:cs="Arial"/>
          <w:szCs w:val="20"/>
        </w:rPr>
        <w:t>znaša</w:t>
      </w:r>
      <w:r w:rsidR="008253B1" w:rsidRPr="002B4D46">
        <w:rPr>
          <w:rFonts w:cs="Arial"/>
          <w:szCs w:val="20"/>
        </w:rPr>
        <w:t>lo</w:t>
      </w:r>
      <w:r w:rsidR="00C64D42" w:rsidRPr="002B4D46">
        <w:rPr>
          <w:rFonts w:cs="Arial"/>
          <w:szCs w:val="20"/>
        </w:rPr>
        <w:t xml:space="preserve"> </w:t>
      </w:r>
      <w:r w:rsidR="00D35288" w:rsidRPr="002B4D46">
        <w:rPr>
          <w:rFonts w:cs="Arial"/>
          <w:szCs w:val="20"/>
        </w:rPr>
        <w:t xml:space="preserve">do </w:t>
      </w:r>
      <w:r w:rsidR="00C64D42" w:rsidRPr="002B4D46">
        <w:rPr>
          <w:rFonts w:cs="Arial"/>
          <w:szCs w:val="20"/>
        </w:rPr>
        <w:t>500.000 EUR</w:t>
      </w:r>
      <w:r w:rsidR="005D084C" w:rsidRPr="002B4D46">
        <w:rPr>
          <w:rFonts w:cs="Arial"/>
          <w:szCs w:val="20"/>
        </w:rPr>
        <w:t xml:space="preserve"> po posameznem zavarovalnem primeru</w:t>
      </w:r>
      <w:r w:rsidR="009A00E0" w:rsidRPr="002B4D46">
        <w:rPr>
          <w:rFonts w:cs="Arial"/>
          <w:szCs w:val="20"/>
        </w:rPr>
        <w:t>.</w:t>
      </w:r>
    </w:p>
    <w:p w14:paraId="15021F1F" w14:textId="083F124B" w:rsidR="00C64D42" w:rsidRPr="002B4D46" w:rsidRDefault="00C64D42" w:rsidP="00220297">
      <w:pPr>
        <w:numPr>
          <w:ilvl w:val="1"/>
          <w:numId w:val="21"/>
        </w:numPr>
        <w:spacing w:line="240" w:lineRule="auto"/>
        <w:jc w:val="both"/>
        <w:rPr>
          <w:rFonts w:cs="Arial"/>
          <w:szCs w:val="20"/>
        </w:rPr>
      </w:pPr>
      <w:r w:rsidRPr="002B4D46">
        <w:rPr>
          <w:rFonts w:cs="Arial"/>
          <w:szCs w:val="20"/>
        </w:rPr>
        <w:t xml:space="preserve">Za temeljne požarne nevarnosti in potresno zavarovanje </w:t>
      </w:r>
      <w:r w:rsidR="008253B1" w:rsidRPr="002B4D46">
        <w:rPr>
          <w:rFonts w:cs="Arial"/>
          <w:szCs w:val="20"/>
        </w:rPr>
        <w:t>j</w:t>
      </w:r>
      <w:r w:rsidRPr="002B4D46">
        <w:rPr>
          <w:rFonts w:cs="Arial"/>
          <w:szCs w:val="20"/>
        </w:rPr>
        <w:t>e za opremo določ</w:t>
      </w:r>
      <w:r w:rsidR="008253B1" w:rsidRPr="002B4D46">
        <w:rPr>
          <w:rFonts w:cs="Arial"/>
          <w:szCs w:val="20"/>
        </w:rPr>
        <w:t>en</w:t>
      </w:r>
      <w:r w:rsidRPr="002B4D46">
        <w:rPr>
          <w:rFonts w:cs="Arial"/>
          <w:szCs w:val="20"/>
        </w:rPr>
        <w:t xml:space="preserve"> dodatni (</w:t>
      </w:r>
      <w:proofErr w:type="spellStart"/>
      <w:r w:rsidRPr="002B4D46">
        <w:rPr>
          <w:rFonts w:cs="Arial"/>
          <w:szCs w:val="20"/>
        </w:rPr>
        <w:t>presežkovni</w:t>
      </w:r>
      <w:proofErr w:type="spellEnd"/>
      <w:r w:rsidRPr="002B4D46">
        <w:rPr>
          <w:rFonts w:cs="Arial"/>
          <w:szCs w:val="20"/>
        </w:rPr>
        <w:t xml:space="preserve">) limit zavar. kritja v višini 1.000.000 EUR po zavarovalnem primeru in v letnem agregatu, ki velja v primeru, če se ob nastanku škodnega dogodka ugotovi, da nova nadomestitvena vrednost poškodovanih ali uničenih predmetov zavarovanja presega zavarovalno vsoto. </w:t>
      </w:r>
    </w:p>
    <w:p w14:paraId="4ACE46EA" w14:textId="4F350458" w:rsidR="000C2DB3" w:rsidRPr="002B4D46" w:rsidRDefault="00C64D42" w:rsidP="00220297">
      <w:pPr>
        <w:numPr>
          <w:ilvl w:val="1"/>
          <w:numId w:val="21"/>
        </w:numPr>
        <w:spacing w:line="240" w:lineRule="auto"/>
        <w:jc w:val="both"/>
        <w:rPr>
          <w:rFonts w:cs="Arial"/>
          <w:szCs w:val="20"/>
        </w:rPr>
      </w:pPr>
      <w:r w:rsidRPr="002B4D46">
        <w:rPr>
          <w:rFonts w:cs="Arial"/>
          <w:szCs w:val="20"/>
        </w:rPr>
        <w:t>Določ</w:t>
      </w:r>
      <w:r w:rsidR="005D084C" w:rsidRPr="002B4D46">
        <w:rPr>
          <w:rFonts w:cs="Arial"/>
          <w:szCs w:val="20"/>
        </w:rPr>
        <w:t>en je</w:t>
      </w:r>
      <w:r w:rsidRPr="002B4D46">
        <w:rPr>
          <w:rFonts w:cs="Arial"/>
          <w:szCs w:val="20"/>
        </w:rPr>
        <w:t xml:space="preserve"> dodatni (</w:t>
      </w:r>
      <w:proofErr w:type="spellStart"/>
      <w:r w:rsidRPr="002B4D46">
        <w:rPr>
          <w:rFonts w:cs="Arial"/>
          <w:szCs w:val="20"/>
        </w:rPr>
        <w:t>presežkovni</w:t>
      </w:r>
      <w:proofErr w:type="spellEnd"/>
      <w:r w:rsidRPr="002B4D46">
        <w:rPr>
          <w:rFonts w:cs="Arial"/>
          <w:szCs w:val="20"/>
        </w:rPr>
        <w:t xml:space="preserve">) limit k osnovnemu kritju strojelomnega zavarovanja za zavarovalno kritje v višini 150.000 EUR po zavarovalnem primeru in v letnem agregatu, ki velja v primeru, če se ob nastanku škodnega dogodka ugotovi, da nova nadomestitvena vrednost poškodovanega ali uničenega predmeta zavarovanja presega zavarovalno vsoto. </w:t>
      </w:r>
    </w:p>
    <w:p w14:paraId="7B57B9B3" w14:textId="77777777" w:rsidR="008253B1" w:rsidRPr="002B4D46" w:rsidRDefault="008253B1" w:rsidP="008253B1">
      <w:pPr>
        <w:spacing w:line="240" w:lineRule="auto"/>
        <w:ind w:left="1440"/>
        <w:jc w:val="both"/>
        <w:rPr>
          <w:rFonts w:cs="Arial"/>
          <w:szCs w:val="20"/>
        </w:rPr>
      </w:pPr>
    </w:p>
    <w:p w14:paraId="64049F4E" w14:textId="67204F2B" w:rsidR="008253B1" w:rsidRPr="008253B1" w:rsidRDefault="008253B1" w:rsidP="008253B1">
      <w:pPr>
        <w:spacing w:line="240" w:lineRule="auto"/>
        <w:jc w:val="both"/>
        <w:rPr>
          <w:rFonts w:eastAsiaTheme="minorHAnsi" w:cs="Arial"/>
          <w:szCs w:val="20"/>
        </w:rPr>
      </w:pPr>
      <w:r w:rsidRPr="002B4D46">
        <w:rPr>
          <w:rFonts w:eastAsiaTheme="minorHAnsi" w:cs="Arial"/>
          <w:szCs w:val="20"/>
          <w:lang w:eastAsia="sl-SI"/>
        </w:rPr>
        <w:t xml:space="preserve">Kot v preteklih letih imate pripravljen dostop do spletnega portala </w:t>
      </w:r>
      <w:hyperlink r:id="rId8" w:history="1">
        <w:r w:rsidRPr="002B4D46">
          <w:rPr>
            <w:rStyle w:val="Hiperpovezava"/>
            <w:rFonts w:eastAsiaTheme="minorHAnsi" w:cs="Arial"/>
            <w:szCs w:val="20"/>
            <w:lang w:eastAsia="sl-SI"/>
          </w:rPr>
          <w:t>www.SimpBroker.com</w:t>
        </w:r>
      </w:hyperlink>
      <w:r w:rsidRPr="002B4D46">
        <w:rPr>
          <w:rFonts w:eastAsiaTheme="minorHAnsi" w:cs="Arial"/>
          <w:szCs w:val="20"/>
          <w:lang w:eastAsia="sl-SI"/>
        </w:rPr>
        <w:t xml:space="preserve">, kjer vam je omogočeno pregledovanje, urejanje in dodajanje podatkov, ki jih potrebno oddati </w:t>
      </w:r>
      <w:r w:rsidR="002C1B21" w:rsidRPr="002B4D46">
        <w:rPr>
          <w:rFonts w:eastAsiaTheme="minorHAnsi" w:cs="Arial"/>
          <w:szCs w:val="20"/>
          <w:lang w:eastAsia="sl-SI"/>
        </w:rPr>
        <w:t xml:space="preserve">vsako leto </w:t>
      </w:r>
      <w:r w:rsidRPr="002B4D46">
        <w:rPr>
          <w:rFonts w:eastAsiaTheme="minorHAnsi" w:cs="Arial"/>
          <w:szCs w:val="20"/>
          <w:lang w:eastAsia="sl-SI"/>
        </w:rPr>
        <w:t xml:space="preserve">za obračun zavarovalne premije in bodite pazljivi </w:t>
      </w:r>
      <w:r w:rsidRPr="008253B1">
        <w:rPr>
          <w:rFonts w:eastAsiaTheme="minorHAnsi" w:cs="Arial"/>
          <w:szCs w:val="20"/>
          <w:lang w:eastAsia="sl-SI"/>
        </w:rPr>
        <w:t>v primeru sprememb med zavarovalnim letom</w:t>
      </w:r>
      <w:r w:rsidRPr="002B4D46">
        <w:rPr>
          <w:rFonts w:eastAsiaTheme="minorHAnsi" w:cs="Arial"/>
          <w:szCs w:val="20"/>
          <w:lang w:eastAsia="sl-SI"/>
        </w:rPr>
        <w:t>, saj je</w:t>
      </w:r>
      <w:r w:rsidRPr="008253B1">
        <w:rPr>
          <w:rFonts w:eastAsiaTheme="minorHAnsi" w:cs="Arial"/>
          <w:szCs w:val="20"/>
          <w:lang w:eastAsia="sl-SI"/>
        </w:rPr>
        <w:t xml:space="preserve"> potrebno le-to obvezno sporočiti, in sicer:</w:t>
      </w:r>
    </w:p>
    <w:p w14:paraId="20605113" w14:textId="77777777" w:rsidR="008253B1" w:rsidRPr="008253B1" w:rsidRDefault="008253B1" w:rsidP="008253B1">
      <w:pPr>
        <w:numPr>
          <w:ilvl w:val="0"/>
          <w:numId w:val="22"/>
        </w:numPr>
        <w:spacing w:line="240" w:lineRule="auto"/>
        <w:ind w:left="709"/>
        <w:jc w:val="both"/>
        <w:rPr>
          <w:rFonts w:eastAsiaTheme="minorHAnsi" w:cs="Arial"/>
          <w:szCs w:val="20"/>
        </w:rPr>
      </w:pPr>
      <w:r w:rsidRPr="008253B1">
        <w:rPr>
          <w:rFonts w:eastAsiaTheme="minorHAnsi" w:cs="Arial"/>
          <w:szCs w:val="20"/>
          <w:lang w:eastAsia="sl-SI"/>
        </w:rPr>
        <w:t xml:space="preserve">prijave ali odjave med zavarovalnim letom v primeru spremembe vrednosti </w:t>
      </w:r>
      <w:r w:rsidRPr="008253B1">
        <w:rPr>
          <w:rFonts w:eastAsiaTheme="minorHAnsi" w:cs="Arial"/>
          <w:b/>
          <w:szCs w:val="20"/>
          <w:lang w:eastAsia="sl-SI"/>
        </w:rPr>
        <w:t>za več kot 10%</w:t>
      </w:r>
      <w:r w:rsidRPr="008253B1">
        <w:rPr>
          <w:rFonts w:eastAsiaTheme="minorHAnsi" w:cs="Arial"/>
          <w:szCs w:val="20"/>
          <w:lang w:eastAsia="sl-SI"/>
        </w:rPr>
        <w:t xml:space="preserve"> posameznega objekta in/ali skupaj opreme in drobnega inventarja in </w:t>
      </w:r>
    </w:p>
    <w:p w14:paraId="2A13024C" w14:textId="77777777" w:rsidR="008253B1" w:rsidRPr="008253B1" w:rsidRDefault="008253B1" w:rsidP="008253B1">
      <w:pPr>
        <w:numPr>
          <w:ilvl w:val="0"/>
          <w:numId w:val="22"/>
        </w:numPr>
        <w:spacing w:line="240" w:lineRule="auto"/>
        <w:ind w:left="709"/>
        <w:jc w:val="both"/>
        <w:rPr>
          <w:rFonts w:eastAsiaTheme="minorHAnsi" w:cs="Arial"/>
          <w:szCs w:val="20"/>
          <w:lang w:eastAsia="sl-SI"/>
        </w:rPr>
      </w:pPr>
      <w:r w:rsidRPr="008253B1">
        <w:rPr>
          <w:rFonts w:eastAsiaTheme="minorHAnsi" w:cs="Arial"/>
          <w:szCs w:val="20"/>
          <w:lang w:eastAsia="sl-SI"/>
        </w:rPr>
        <w:t>nove lokacije in/ali objekt. Prijavo je potrebno urediti najpozneje z dnem prevzema objekta (v upravljanje, v najem, nakup ali prevzem od izvajalca - predvidevamo, da je v času gradnje posebej sklenjeno ustrezno oziroma vsaj običajno gradbeno in/ali montažno zavarovanje s strani izvajalca ali naročnika) ali z dnem, ko je na lokaciji oprema in drobni inventar ali zaloga, če je to prej kot pa sam prevzem objekta ter</w:t>
      </w:r>
    </w:p>
    <w:p w14:paraId="364BE085" w14:textId="77777777" w:rsidR="008253B1" w:rsidRPr="008253B1" w:rsidRDefault="008253B1" w:rsidP="008253B1">
      <w:pPr>
        <w:numPr>
          <w:ilvl w:val="0"/>
          <w:numId w:val="22"/>
        </w:numPr>
        <w:spacing w:line="240" w:lineRule="auto"/>
        <w:ind w:left="709"/>
        <w:jc w:val="both"/>
        <w:rPr>
          <w:rFonts w:eastAsiaTheme="minorHAnsi" w:cs="Arial"/>
          <w:szCs w:val="20"/>
          <w:lang w:eastAsia="sl-SI"/>
        </w:rPr>
      </w:pPr>
      <w:r w:rsidRPr="008253B1">
        <w:rPr>
          <w:rFonts w:eastAsiaTheme="minorHAnsi" w:cs="Arial"/>
          <w:szCs w:val="20"/>
          <w:lang w:eastAsia="sl-SI"/>
        </w:rPr>
        <w:t>vrednost zalog v primeru povišanja za več kot 50% glede na že sporočeno vrednost.</w:t>
      </w:r>
    </w:p>
    <w:p w14:paraId="08DBD27F" w14:textId="77777777" w:rsidR="008253B1" w:rsidRPr="002B4D46" w:rsidRDefault="008253B1" w:rsidP="00517631">
      <w:pPr>
        <w:spacing w:line="240" w:lineRule="auto"/>
        <w:jc w:val="both"/>
        <w:rPr>
          <w:rFonts w:cs="Arial"/>
          <w:szCs w:val="20"/>
        </w:rPr>
      </w:pPr>
    </w:p>
    <w:p w14:paraId="46E0717D" w14:textId="6D5180FF" w:rsidR="002C1B21" w:rsidRPr="002B4D46" w:rsidRDefault="00517631" w:rsidP="002C1B21">
      <w:pPr>
        <w:spacing w:line="240" w:lineRule="auto"/>
        <w:jc w:val="both"/>
        <w:rPr>
          <w:rFonts w:cs="Arial"/>
          <w:color w:val="000000"/>
          <w:szCs w:val="20"/>
        </w:rPr>
      </w:pPr>
      <w:r w:rsidRPr="002B4D46">
        <w:rPr>
          <w:rFonts w:cs="Arial"/>
          <w:szCs w:val="20"/>
        </w:rPr>
        <w:t>Kot za prejšnja zavarovalna obdobja je gradivo (zavarovaln</w:t>
      </w:r>
      <w:r w:rsidR="002C1B21" w:rsidRPr="002B4D46">
        <w:rPr>
          <w:rFonts w:cs="Arial"/>
          <w:szCs w:val="20"/>
        </w:rPr>
        <w:t>a</w:t>
      </w:r>
      <w:r w:rsidRPr="002B4D46">
        <w:rPr>
          <w:rFonts w:cs="Arial"/>
          <w:szCs w:val="20"/>
        </w:rPr>
        <w:t xml:space="preserve"> dokumentacij</w:t>
      </w:r>
      <w:r w:rsidR="002C1B21" w:rsidRPr="002B4D46">
        <w:rPr>
          <w:rFonts w:cs="Arial"/>
          <w:szCs w:val="20"/>
        </w:rPr>
        <w:t>a</w:t>
      </w:r>
      <w:r w:rsidRPr="002B4D46">
        <w:rPr>
          <w:rFonts w:cs="Arial"/>
          <w:szCs w:val="20"/>
        </w:rPr>
        <w:t>) dostopno na portalu MVI (</w:t>
      </w:r>
      <w:hyperlink r:id="rId9" w:history="1">
        <w:r w:rsidRPr="002B4D46">
          <w:rPr>
            <w:rStyle w:val="Hiperpovezava"/>
            <w:rFonts w:cs="Arial"/>
            <w:szCs w:val="20"/>
          </w:rPr>
          <w:t>http://eportal.m</w:t>
        </w:r>
        <w:r w:rsidRPr="002B4D46">
          <w:rPr>
            <w:rStyle w:val="Hiperpovezava"/>
            <w:rFonts w:cs="Arial"/>
            <w:szCs w:val="20"/>
          </w:rPr>
          <w:t>s</w:t>
        </w:r>
        <w:r w:rsidRPr="002B4D46">
          <w:rPr>
            <w:rStyle w:val="Hiperpovezava"/>
            <w:rFonts w:cs="Arial"/>
            <w:szCs w:val="20"/>
          </w:rPr>
          <w:t>s.edus.si/portal/zavarovanja</w:t>
        </w:r>
      </w:hyperlink>
      <w:r w:rsidRPr="002B4D46">
        <w:rPr>
          <w:rFonts w:cs="Arial"/>
          <w:szCs w:val="20"/>
        </w:rPr>
        <w:t>)</w:t>
      </w:r>
      <w:r w:rsidR="008253B1" w:rsidRPr="002B4D46">
        <w:rPr>
          <w:rFonts w:cs="Arial"/>
          <w:szCs w:val="20"/>
        </w:rPr>
        <w:t xml:space="preserve"> in tudi na spletnem portalu </w:t>
      </w:r>
      <w:hyperlink r:id="rId10" w:history="1">
        <w:r w:rsidR="008253B1" w:rsidRPr="002B4D46">
          <w:rPr>
            <w:rStyle w:val="Hiperpovezava"/>
            <w:rFonts w:cs="Arial"/>
            <w:szCs w:val="20"/>
          </w:rPr>
          <w:t>www.simpbroker.com</w:t>
        </w:r>
      </w:hyperlink>
      <w:r w:rsidR="008253B1" w:rsidRPr="002B4D46">
        <w:rPr>
          <w:rFonts w:cs="Arial"/>
          <w:szCs w:val="20"/>
        </w:rPr>
        <w:t xml:space="preserve">, kjer vam je na voljo tudi modul "Prijava škod" (zavarovalnih zahtevkov) ter njihovo spremljanje. </w:t>
      </w:r>
      <w:r w:rsidR="002C1B21" w:rsidRPr="002B4D46">
        <w:rPr>
          <w:rFonts w:cs="Arial"/>
          <w:szCs w:val="20"/>
        </w:rPr>
        <w:t>Če še niste lahko n</w:t>
      </w:r>
      <w:r w:rsidR="008253B1" w:rsidRPr="002B4D46">
        <w:rPr>
          <w:rFonts w:cs="Arial"/>
          <w:szCs w:val="20"/>
        </w:rPr>
        <w:t xml:space="preserve">a e-naslov: </w:t>
      </w:r>
      <w:hyperlink r:id="rId11" w:history="1">
        <w:r w:rsidR="008253B1" w:rsidRPr="002B4D46">
          <w:rPr>
            <w:rStyle w:val="Hiperpovezava"/>
            <w:rFonts w:cs="Arial"/>
            <w:szCs w:val="20"/>
          </w:rPr>
          <w:t>mizs@krikaksum.si</w:t>
        </w:r>
      </w:hyperlink>
      <w:r w:rsidR="008253B1" w:rsidRPr="002B4D46">
        <w:rPr>
          <w:rFonts w:cs="Arial"/>
          <w:szCs w:val="20"/>
        </w:rPr>
        <w:t xml:space="preserve">  pošljite naziv zavoda ter e-naslov sodelavcev, ki so pri vas tudi zadolženi za uveljavljanje zavarovanj, da jim bomo lahko omogočili uporabo portala </w:t>
      </w:r>
      <w:proofErr w:type="spellStart"/>
      <w:r w:rsidR="008253B1" w:rsidRPr="002B4D46">
        <w:rPr>
          <w:rFonts w:cs="Arial"/>
          <w:szCs w:val="20"/>
        </w:rPr>
        <w:t>SimpBroker</w:t>
      </w:r>
      <w:proofErr w:type="spellEnd"/>
      <w:r w:rsidR="008253B1" w:rsidRPr="002B4D46">
        <w:rPr>
          <w:rFonts w:cs="Arial"/>
          <w:szCs w:val="20"/>
        </w:rPr>
        <w:t xml:space="preserve"> za uveljavljanje zavarovanj iz naslova zavarovalnega programa SJN MVI.</w:t>
      </w:r>
      <w:r w:rsidR="002C1B21" w:rsidRPr="002B4D46">
        <w:rPr>
          <w:rFonts w:cs="Arial"/>
          <w:szCs w:val="20"/>
        </w:rPr>
        <w:t xml:space="preserve"> Hkrati vam sporočamo, da vas bomo v kratkem obvestili o izvedbi delavnice na temo zadevnega zavarovalnega programa.</w:t>
      </w:r>
    </w:p>
    <w:p w14:paraId="126F5FB9" w14:textId="77777777" w:rsidR="002C1B21" w:rsidRPr="002B4D46" w:rsidRDefault="002C1B21" w:rsidP="001D1A51">
      <w:pPr>
        <w:widowControl w:val="0"/>
        <w:autoSpaceDE w:val="0"/>
        <w:autoSpaceDN w:val="0"/>
        <w:adjustRightInd w:val="0"/>
        <w:spacing w:line="240" w:lineRule="atLeast"/>
        <w:ind w:left="4956" w:firstLine="708"/>
        <w:jc w:val="both"/>
        <w:rPr>
          <w:rFonts w:cs="Arial"/>
          <w:color w:val="000000"/>
          <w:szCs w:val="20"/>
        </w:rPr>
      </w:pPr>
    </w:p>
    <w:p w14:paraId="3FC9DF58" w14:textId="6ACE9678" w:rsidR="00BD394B" w:rsidRPr="002B4D46" w:rsidRDefault="00BD394B" w:rsidP="001D1A51">
      <w:pPr>
        <w:widowControl w:val="0"/>
        <w:autoSpaceDE w:val="0"/>
        <w:autoSpaceDN w:val="0"/>
        <w:adjustRightInd w:val="0"/>
        <w:spacing w:line="240" w:lineRule="atLeast"/>
        <w:ind w:left="4956" w:firstLine="708"/>
        <w:jc w:val="both"/>
        <w:rPr>
          <w:rFonts w:cs="Arial"/>
          <w:color w:val="000000"/>
          <w:szCs w:val="20"/>
        </w:rPr>
      </w:pPr>
      <w:r w:rsidRPr="002B4D46">
        <w:rPr>
          <w:rFonts w:cs="Arial"/>
          <w:color w:val="000000"/>
          <w:szCs w:val="20"/>
        </w:rPr>
        <w:t>Mitja Maruško, sekretar</w:t>
      </w:r>
    </w:p>
    <w:p w14:paraId="28376B00" w14:textId="273409D0" w:rsidR="009C15EF" w:rsidRPr="002B4D46" w:rsidRDefault="00C64D42" w:rsidP="001D1A51">
      <w:pPr>
        <w:spacing w:line="260" w:lineRule="atLeast"/>
        <w:ind w:left="5664"/>
        <w:jc w:val="both"/>
        <w:rPr>
          <w:rFonts w:cs="Arial"/>
          <w:szCs w:val="20"/>
        </w:rPr>
      </w:pPr>
      <w:r w:rsidRPr="002B4D46">
        <w:rPr>
          <w:rFonts w:cs="Arial"/>
          <w:szCs w:val="20"/>
        </w:rPr>
        <w:t xml:space="preserve">Predsednik </w:t>
      </w:r>
      <w:r w:rsidR="001D1A51" w:rsidRPr="002B4D46">
        <w:rPr>
          <w:rFonts w:cs="Arial"/>
          <w:szCs w:val="20"/>
        </w:rPr>
        <w:t xml:space="preserve">strokovne </w:t>
      </w:r>
      <w:r w:rsidRPr="002B4D46">
        <w:rPr>
          <w:rFonts w:cs="Arial"/>
          <w:szCs w:val="20"/>
        </w:rPr>
        <w:t>komisije</w:t>
      </w:r>
    </w:p>
    <w:sectPr w:rsidR="009C15EF" w:rsidRPr="002B4D46" w:rsidSect="001D1A5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709" w:right="851" w:bottom="851" w:left="1418" w:header="964" w:footer="15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0BCBC" w14:textId="77777777" w:rsidR="003F6083" w:rsidRDefault="003F6083" w:rsidP="008A4089">
      <w:pPr>
        <w:spacing w:line="240" w:lineRule="auto"/>
      </w:pPr>
      <w:r>
        <w:separator/>
      </w:r>
    </w:p>
  </w:endnote>
  <w:endnote w:type="continuationSeparator" w:id="0">
    <w:p w14:paraId="6FD0307C" w14:textId="77777777" w:rsidR="003F6083" w:rsidRDefault="003F6083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B34B" w14:textId="77777777" w:rsidR="000C182A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0C182A" w:rsidRDefault="000C182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6F37D" w14:textId="426B6AF7" w:rsidR="000C182A" w:rsidRDefault="000C182A" w:rsidP="005038F3">
    <w:pPr>
      <w:pStyle w:val="Noga"/>
      <w:framePr w:wrap="around" w:vAnchor="text" w:hAnchor="margin" w:xAlign="center" w:y="1"/>
      <w:rPr>
        <w:rStyle w:val="tevilkastrani"/>
      </w:rPr>
    </w:pPr>
  </w:p>
  <w:sdt>
    <w:sdtPr>
      <w:rPr>
        <w:rFonts w:asciiTheme="minorHAnsi" w:hAnsiTheme="minorHAnsi" w:cstheme="minorHAnsi"/>
        <w:sz w:val="16"/>
        <w:szCs w:val="16"/>
      </w:rPr>
      <w:id w:val="-7050125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1341928624"/>
          <w:docPartObj>
            <w:docPartGallery w:val="Page Numbers (Top of Page)"/>
            <w:docPartUnique/>
          </w:docPartObj>
        </w:sdtPr>
        <w:sdtEndPr/>
        <w:sdtContent>
          <w:p w14:paraId="0C76BE33" w14:textId="77777777" w:rsidR="00D35288" w:rsidRPr="00D35288" w:rsidRDefault="00D35288" w:rsidP="00D35288">
            <w:pPr>
              <w:pStyle w:val="Noga"/>
              <w:tabs>
                <w:tab w:val="clear" w:pos="4320"/>
              </w:tabs>
              <w:ind w:firstLine="5387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35288">
              <w:rPr>
                <w:rFonts w:asciiTheme="minorHAnsi" w:hAnsiTheme="minorHAnsi" w:cstheme="minorHAnsi"/>
                <w:sz w:val="16"/>
                <w:szCs w:val="16"/>
                <w:lang w:val="sl-SI"/>
              </w:rPr>
              <w:t xml:space="preserve">Stran </w:t>
            </w:r>
            <w:r w:rsidRPr="00D352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D352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D352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  <w:r w:rsidRPr="00D352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D35288">
              <w:rPr>
                <w:rFonts w:asciiTheme="minorHAnsi" w:hAnsiTheme="minorHAnsi" w:cstheme="minorHAnsi"/>
                <w:sz w:val="16"/>
                <w:szCs w:val="16"/>
                <w:lang w:val="sl-SI"/>
              </w:rPr>
              <w:t xml:space="preserve"> od </w:t>
            </w:r>
            <w:r w:rsidRPr="00D352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D352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D352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D352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967C94C" w14:textId="77777777" w:rsidR="000C182A" w:rsidRDefault="000C182A" w:rsidP="00D3528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6"/>
        <w:szCs w:val="16"/>
      </w:rPr>
      <w:id w:val="29433821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4F289A" w14:textId="2E5EDCCD" w:rsidR="00D35288" w:rsidRPr="00D35288" w:rsidRDefault="00D35288">
            <w:pPr>
              <w:pStyle w:val="Noga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35288">
              <w:rPr>
                <w:rFonts w:asciiTheme="minorHAnsi" w:hAnsiTheme="minorHAnsi" w:cstheme="minorHAnsi"/>
                <w:sz w:val="16"/>
                <w:szCs w:val="16"/>
                <w:lang w:val="sl-SI"/>
              </w:rPr>
              <w:t xml:space="preserve">Stran </w:t>
            </w:r>
            <w:r w:rsidRPr="00D352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D352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D352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D35288">
              <w:rPr>
                <w:rFonts w:asciiTheme="minorHAnsi" w:hAnsiTheme="minorHAnsi" w:cstheme="minorHAnsi"/>
                <w:b/>
                <w:bCs/>
                <w:sz w:val="16"/>
                <w:szCs w:val="16"/>
                <w:lang w:val="sl-SI"/>
              </w:rPr>
              <w:t>2</w:t>
            </w:r>
            <w:r w:rsidRPr="00D352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D35288">
              <w:rPr>
                <w:rFonts w:asciiTheme="minorHAnsi" w:hAnsiTheme="minorHAnsi" w:cstheme="minorHAnsi"/>
                <w:sz w:val="16"/>
                <w:szCs w:val="16"/>
                <w:lang w:val="sl-SI"/>
              </w:rPr>
              <w:t xml:space="preserve"> od </w:t>
            </w:r>
            <w:r w:rsidRPr="00D352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D352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D352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D35288">
              <w:rPr>
                <w:rFonts w:asciiTheme="minorHAnsi" w:hAnsiTheme="minorHAnsi" w:cstheme="minorHAnsi"/>
                <w:b/>
                <w:bCs/>
                <w:sz w:val="16"/>
                <w:szCs w:val="16"/>
                <w:lang w:val="sl-SI"/>
              </w:rPr>
              <w:t>2</w:t>
            </w:r>
            <w:r w:rsidRPr="00D3528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5D6B79F" w14:textId="77777777" w:rsidR="00D35288" w:rsidRDefault="00D3528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EB4F0" w14:textId="77777777" w:rsidR="003F6083" w:rsidRDefault="003F6083" w:rsidP="008A4089">
      <w:pPr>
        <w:spacing w:line="240" w:lineRule="auto"/>
      </w:pPr>
      <w:r>
        <w:separator/>
      </w:r>
    </w:p>
  </w:footnote>
  <w:footnote w:type="continuationSeparator" w:id="0">
    <w:p w14:paraId="178F1F38" w14:textId="77777777" w:rsidR="003F6083" w:rsidRDefault="003F6083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08D1" w14:textId="77777777" w:rsidR="000C182A" w:rsidRPr="00110CBD" w:rsidRDefault="000C182A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93A65" w14:textId="77777777" w:rsidR="000C182A" w:rsidRPr="008F3500" w:rsidRDefault="000C182A" w:rsidP="00220297">
    <w:pPr>
      <w:autoSpaceDE w:val="0"/>
      <w:autoSpaceDN w:val="0"/>
      <w:adjustRightInd w:val="0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E77"/>
    <w:multiLevelType w:val="hybridMultilevel"/>
    <w:tmpl w:val="D7A210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04142"/>
    <w:multiLevelType w:val="hybridMultilevel"/>
    <w:tmpl w:val="6B261E7E"/>
    <w:lvl w:ilvl="0" w:tplc="B97660C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D51FF"/>
    <w:multiLevelType w:val="hybridMultilevel"/>
    <w:tmpl w:val="BE6CB896"/>
    <w:lvl w:ilvl="0" w:tplc="A2BA4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61D47"/>
    <w:multiLevelType w:val="hybridMultilevel"/>
    <w:tmpl w:val="C8E201B8"/>
    <w:lvl w:ilvl="0" w:tplc="B97660C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791C7E"/>
    <w:multiLevelType w:val="hybridMultilevel"/>
    <w:tmpl w:val="91503148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C70D8"/>
    <w:multiLevelType w:val="hybridMultilevel"/>
    <w:tmpl w:val="BB3436C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6044F"/>
    <w:multiLevelType w:val="hybridMultilevel"/>
    <w:tmpl w:val="FED49D70"/>
    <w:lvl w:ilvl="0" w:tplc="FFFFFFFF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756E0"/>
    <w:multiLevelType w:val="hybridMultilevel"/>
    <w:tmpl w:val="6742C30E"/>
    <w:lvl w:ilvl="0" w:tplc="A7444F5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A0513"/>
    <w:multiLevelType w:val="hybridMultilevel"/>
    <w:tmpl w:val="E29045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91094"/>
    <w:multiLevelType w:val="hybridMultilevel"/>
    <w:tmpl w:val="4EE037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971C7"/>
    <w:multiLevelType w:val="hybridMultilevel"/>
    <w:tmpl w:val="8918D1C4"/>
    <w:lvl w:ilvl="0" w:tplc="A2BA4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428AC"/>
    <w:multiLevelType w:val="hybridMultilevel"/>
    <w:tmpl w:val="1D1E84B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4777FC"/>
    <w:multiLevelType w:val="hybridMultilevel"/>
    <w:tmpl w:val="AE382DFE"/>
    <w:lvl w:ilvl="0" w:tplc="A2BA4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96E8F"/>
    <w:multiLevelType w:val="hybridMultilevel"/>
    <w:tmpl w:val="6A580A34"/>
    <w:lvl w:ilvl="0" w:tplc="A2BA4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53FCF"/>
    <w:multiLevelType w:val="hybridMultilevel"/>
    <w:tmpl w:val="DFBE1DF8"/>
    <w:lvl w:ilvl="0" w:tplc="A2BA48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65DCC"/>
    <w:multiLevelType w:val="hybridMultilevel"/>
    <w:tmpl w:val="4F503808"/>
    <w:lvl w:ilvl="0" w:tplc="A2BA48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E4218A"/>
    <w:multiLevelType w:val="hybridMultilevel"/>
    <w:tmpl w:val="CBA64D00"/>
    <w:lvl w:ilvl="0" w:tplc="A2BA4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870AC5"/>
    <w:multiLevelType w:val="hybridMultilevel"/>
    <w:tmpl w:val="7EEA41AE"/>
    <w:lvl w:ilvl="0" w:tplc="8F52D806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24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F6D96"/>
    <w:multiLevelType w:val="hybridMultilevel"/>
    <w:tmpl w:val="AEC67E26"/>
    <w:lvl w:ilvl="0" w:tplc="50FAFAE4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F41E9"/>
    <w:multiLevelType w:val="hybridMultilevel"/>
    <w:tmpl w:val="AC72FFDC"/>
    <w:lvl w:ilvl="0" w:tplc="0424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5482587"/>
    <w:multiLevelType w:val="hybridMultilevel"/>
    <w:tmpl w:val="D7A210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DF2AB7"/>
    <w:multiLevelType w:val="hybridMultilevel"/>
    <w:tmpl w:val="DDDCFEE6"/>
    <w:lvl w:ilvl="0" w:tplc="A2BA4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106784">
    <w:abstractNumId w:val="10"/>
  </w:num>
  <w:num w:numId="2" w16cid:durableId="157892661">
    <w:abstractNumId w:val="1"/>
  </w:num>
  <w:num w:numId="3" w16cid:durableId="19478322">
    <w:abstractNumId w:val="9"/>
  </w:num>
  <w:num w:numId="4" w16cid:durableId="234169565">
    <w:abstractNumId w:val="20"/>
  </w:num>
  <w:num w:numId="5" w16cid:durableId="1916626408">
    <w:abstractNumId w:val="13"/>
  </w:num>
  <w:num w:numId="6" w16cid:durableId="842474047">
    <w:abstractNumId w:val="21"/>
  </w:num>
  <w:num w:numId="7" w16cid:durableId="2131699882">
    <w:abstractNumId w:val="2"/>
  </w:num>
  <w:num w:numId="8" w16cid:durableId="1564219849">
    <w:abstractNumId w:val="16"/>
  </w:num>
  <w:num w:numId="9" w16cid:durableId="1546335910">
    <w:abstractNumId w:val="12"/>
  </w:num>
  <w:num w:numId="10" w16cid:durableId="1509247535">
    <w:abstractNumId w:val="18"/>
  </w:num>
  <w:num w:numId="11" w16cid:durableId="1998457825">
    <w:abstractNumId w:val="0"/>
  </w:num>
  <w:num w:numId="12" w16cid:durableId="1457914381">
    <w:abstractNumId w:val="14"/>
  </w:num>
  <w:num w:numId="13" w16cid:durableId="592904436">
    <w:abstractNumId w:val="3"/>
  </w:num>
  <w:num w:numId="14" w16cid:durableId="1711492122">
    <w:abstractNumId w:val="5"/>
  </w:num>
  <w:num w:numId="15" w16cid:durableId="554438272">
    <w:abstractNumId w:val="15"/>
  </w:num>
  <w:num w:numId="16" w16cid:durableId="862130690">
    <w:abstractNumId w:val="17"/>
  </w:num>
  <w:num w:numId="17" w16cid:durableId="1932660163">
    <w:abstractNumId w:val="7"/>
  </w:num>
  <w:num w:numId="18" w16cid:durableId="655842562">
    <w:abstractNumId w:val="11"/>
  </w:num>
  <w:num w:numId="19" w16cid:durableId="1600524269">
    <w:abstractNumId w:val="8"/>
  </w:num>
  <w:num w:numId="20" w16cid:durableId="1015498212">
    <w:abstractNumId w:val="4"/>
  </w:num>
  <w:num w:numId="21" w16cid:durableId="1995068307">
    <w:abstractNumId w:val="6"/>
  </w:num>
  <w:num w:numId="22" w16cid:durableId="18294445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408BA"/>
    <w:rsid w:val="00060F89"/>
    <w:rsid w:val="000C182A"/>
    <w:rsid w:val="000C2DB3"/>
    <w:rsid w:val="000F029E"/>
    <w:rsid w:val="00100B8A"/>
    <w:rsid w:val="00187B2E"/>
    <w:rsid w:val="001D1A51"/>
    <w:rsid w:val="001E596D"/>
    <w:rsid w:val="00220297"/>
    <w:rsid w:val="00234F26"/>
    <w:rsid w:val="00283395"/>
    <w:rsid w:val="002851B2"/>
    <w:rsid w:val="002B4D46"/>
    <w:rsid w:val="002C1B21"/>
    <w:rsid w:val="00333A77"/>
    <w:rsid w:val="00350796"/>
    <w:rsid w:val="003702FA"/>
    <w:rsid w:val="00381F6F"/>
    <w:rsid w:val="003E4CF9"/>
    <w:rsid w:val="003F6083"/>
    <w:rsid w:val="00417206"/>
    <w:rsid w:val="00441CED"/>
    <w:rsid w:val="004531BE"/>
    <w:rsid w:val="00477030"/>
    <w:rsid w:val="00480E44"/>
    <w:rsid w:val="004941CD"/>
    <w:rsid w:val="004D1DFA"/>
    <w:rsid w:val="004D518A"/>
    <w:rsid w:val="004D60B7"/>
    <w:rsid w:val="00502A31"/>
    <w:rsid w:val="00517631"/>
    <w:rsid w:val="005776BC"/>
    <w:rsid w:val="00594982"/>
    <w:rsid w:val="005D084C"/>
    <w:rsid w:val="005D6070"/>
    <w:rsid w:val="00604F02"/>
    <w:rsid w:val="00636DDD"/>
    <w:rsid w:val="006511CB"/>
    <w:rsid w:val="00666FC5"/>
    <w:rsid w:val="006D62D1"/>
    <w:rsid w:val="006E48D1"/>
    <w:rsid w:val="007026C0"/>
    <w:rsid w:val="00722E8D"/>
    <w:rsid w:val="0075176F"/>
    <w:rsid w:val="0079510C"/>
    <w:rsid w:val="007A64F5"/>
    <w:rsid w:val="008042A6"/>
    <w:rsid w:val="008253B1"/>
    <w:rsid w:val="0083017E"/>
    <w:rsid w:val="00847846"/>
    <w:rsid w:val="00863AA6"/>
    <w:rsid w:val="008A4089"/>
    <w:rsid w:val="00917C2B"/>
    <w:rsid w:val="009559F3"/>
    <w:rsid w:val="009A00E0"/>
    <w:rsid w:val="009C15EF"/>
    <w:rsid w:val="00A17A52"/>
    <w:rsid w:val="00A31605"/>
    <w:rsid w:val="00AB660A"/>
    <w:rsid w:val="00B02040"/>
    <w:rsid w:val="00B12F1A"/>
    <w:rsid w:val="00B36FD9"/>
    <w:rsid w:val="00B60EED"/>
    <w:rsid w:val="00B7520B"/>
    <w:rsid w:val="00BC46B7"/>
    <w:rsid w:val="00BC71EB"/>
    <w:rsid w:val="00BD394B"/>
    <w:rsid w:val="00C3025A"/>
    <w:rsid w:val="00C47214"/>
    <w:rsid w:val="00C64D42"/>
    <w:rsid w:val="00C93625"/>
    <w:rsid w:val="00CF4672"/>
    <w:rsid w:val="00D258C4"/>
    <w:rsid w:val="00D35288"/>
    <w:rsid w:val="00D57484"/>
    <w:rsid w:val="00D81D51"/>
    <w:rsid w:val="00DA1270"/>
    <w:rsid w:val="00DC3DF5"/>
    <w:rsid w:val="00E6270E"/>
    <w:rsid w:val="00E85C1A"/>
    <w:rsid w:val="00EA1D0E"/>
    <w:rsid w:val="00EC2F33"/>
    <w:rsid w:val="00EE3F1F"/>
    <w:rsid w:val="00F13FDD"/>
    <w:rsid w:val="00F17F85"/>
    <w:rsid w:val="00F241DE"/>
    <w:rsid w:val="00F252F8"/>
    <w:rsid w:val="00F52F24"/>
    <w:rsid w:val="00F77F63"/>
    <w:rsid w:val="00FA7FF9"/>
    <w:rsid w:val="00FD2735"/>
    <w:rsid w:val="00FD59DB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uiPriority w:val="99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character" w:styleId="Hiperpovezava">
    <w:name w:val="Hyperlink"/>
    <w:uiPriority w:val="99"/>
    <w:rsid w:val="00BC46B7"/>
    <w:rPr>
      <w:color w:val="0000FF"/>
      <w:u w:val="single"/>
    </w:rPr>
  </w:style>
  <w:style w:type="paragraph" w:customStyle="1" w:styleId="Alineazaodstavkom">
    <w:name w:val="Alinea za odstavkom"/>
    <w:basedOn w:val="Navaden"/>
    <w:link w:val="AlineazaodstavkomZnak"/>
    <w:qFormat/>
    <w:rsid w:val="009C15EF"/>
    <w:pPr>
      <w:numPr>
        <w:numId w:val="16"/>
      </w:numPr>
      <w:spacing w:line="240" w:lineRule="auto"/>
      <w:jc w:val="both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9C15EF"/>
    <w:rPr>
      <w:rFonts w:ascii="Arial" w:eastAsia="Times New Roman" w:hAnsi="Arial" w:cs="Arial"/>
      <w:lang w:eastAsia="sl-SI"/>
    </w:rPr>
  </w:style>
  <w:style w:type="paragraph" w:styleId="Odstavekseznama">
    <w:name w:val="List Paragraph"/>
    <w:basedOn w:val="Navaden"/>
    <w:uiPriority w:val="34"/>
    <w:qFormat/>
    <w:rsid w:val="00D57484"/>
    <w:pPr>
      <w:ind w:left="720"/>
      <w:contextualSpacing/>
    </w:pPr>
  </w:style>
  <w:style w:type="paragraph" w:styleId="Revizija">
    <w:name w:val="Revision"/>
    <w:hidden/>
    <w:uiPriority w:val="99"/>
    <w:semiHidden/>
    <w:rsid w:val="006511C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517631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FF47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mpBroker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zs@krikaksum.si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simpbroker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portal.mss.edus.si/portal/zavarovanj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Damjana Jakobčič</cp:lastModifiedBy>
  <cp:revision>3</cp:revision>
  <cp:lastPrinted>2025-04-17T11:55:00Z</cp:lastPrinted>
  <dcterms:created xsi:type="dcterms:W3CDTF">2025-04-11T12:03:00Z</dcterms:created>
  <dcterms:modified xsi:type="dcterms:W3CDTF">2025-04-17T11:56:00Z</dcterms:modified>
</cp:coreProperties>
</file>